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AE69F" w14:textId="77777777" w:rsidR="00836BC9" w:rsidRPr="001122DC" w:rsidRDefault="00836BC9" w:rsidP="00836BC9">
      <w:pPr>
        <w:pStyle w:val="ac"/>
        <w:jc w:val="center"/>
        <w:rPr>
          <w:rFonts w:ascii="Times New Roman" w:hAnsi="Times New Roman" w:cs="Times New Roman"/>
          <w:b/>
          <w:bCs/>
          <w:sz w:val="28"/>
          <w:szCs w:val="28"/>
          <w:lang w:val="kk-KZ"/>
        </w:rPr>
      </w:pPr>
    </w:p>
    <w:p w14:paraId="5B5E4664" w14:textId="77777777" w:rsidR="00836BC9" w:rsidRDefault="00836BC9" w:rsidP="00836BC9">
      <w:pPr>
        <w:pStyle w:val="ac"/>
        <w:jc w:val="center"/>
        <w:rPr>
          <w:rFonts w:ascii="Times New Roman" w:hAnsi="Times New Roman" w:cs="Times New Roman"/>
          <w:b/>
          <w:bCs/>
          <w:sz w:val="28"/>
          <w:szCs w:val="28"/>
        </w:rPr>
      </w:pPr>
    </w:p>
    <w:p w14:paraId="4ABF4212" w14:textId="77777777" w:rsidR="00836BC9" w:rsidRDefault="00836BC9" w:rsidP="00836BC9">
      <w:pPr>
        <w:pStyle w:val="ac"/>
        <w:jc w:val="center"/>
        <w:rPr>
          <w:rFonts w:ascii="Times New Roman" w:hAnsi="Times New Roman" w:cs="Times New Roman"/>
          <w:b/>
          <w:bCs/>
          <w:sz w:val="28"/>
          <w:szCs w:val="28"/>
        </w:rPr>
      </w:pPr>
    </w:p>
    <w:p w14:paraId="26567AEA" w14:textId="77777777" w:rsidR="00836BC9" w:rsidRDefault="00836BC9" w:rsidP="00836BC9">
      <w:pPr>
        <w:pStyle w:val="ac"/>
        <w:jc w:val="center"/>
        <w:rPr>
          <w:rFonts w:ascii="Times New Roman" w:hAnsi="Times New Roman" w:cs="Times New Roman"/>
          <w:b/>
          <w:bCs/>
          <w:sz w:val="28"/>
          <w:szCs w:val="28"/>
        </w:rPr>
      </w:pPr>
    </w:p>
    <w:p w14:paraId="5EB63CB2" w14:textId="77777777" w:rsidR="00836BC9" w:rsidRDefault="00836BC9" w:rsidP="00836BC9">
      <w:pPr>
        <w:pStyle w:val="ac"/>
        <w:jc w:val="center"/>
        <w:rPr>
          <w:rFonts w:ascii="Times New Roman" w:hAnsi="Times New Roman" w:cs="Times New Roman"/>
          <w:b/>
          <w:bCs/>
          <w:sz w:val="28"/>
          <w:szCs w:val="28"/>
        </w:rPr>
      </w:pPr>
    </w:p>
    <w:p w14:paraId="104362C4" w14:textId="77777777" w:rsidR="00836BC9" w:rsidRDefault="00836BC9" w:rsidP="00836BC9">
      <w:pPr>
        <w:pStyle w:val="ac"/>
        <w:jc w:val="center"/>
        <w:rPr>
          <w:rFonts w:ascii="Times New Roman" w:hAnsi="Times New Roman" w:cs="Times New Roman"/>
          <w:b/>
          <w:bCs/>
          <w:sz w:val="28"/>
          <w:szCs w:val="28"/>
        </w:rPr>
      </w:pPr>
    </w:p>
    <w:p w14:paraId="0430B47A" w14:textId="77777777" w:rsidR="00836BC9" w:rsidRDefault="00836BC9" w:rsidP="00836BC9">
      <w:pPr>
        <w:pStyle w:val="ac"/>
        <w:jc w:val="center"/>
        <w:rPr>
          <w:rFonts w:ascii="Times New Roman" w:hAnsi="Times New Roman" w:cs="Times New Roman"/>
          <w:b/>
          <w:bCs/>
          <w:sz w:val="28"/>
          <w:szCs w:val="28"/>
        </w:rPr>
      </w:pPr>
    </w:p>
    <w:p w14:paraId="5B88536E" w14:textId="77777777" w:rsidR="00836BC9" w:rsidRDefault="00836BC9" w:rsidP="00836BC9">
      <w:pPr>
        <w:pStyle w:val="ac"/>
        <w:jc w:val="center"/>
        <w:rPr>
          <w:rFonts w:ascii="Times New Roman" w:hAnsi="Times New Roman" w:cs="Times New Roman"/>
          <w:b/>
          <w:bCs/>
          <w:sz w:val="28"/>
          <w:szCs w:val="28"/>
        </w:rPr>
      </w:pPr>
    </w:p>
    <w:p w14:paraId="17F59C1F" w14:textId="77777777" w:rsidR="00836BC9" w:rsidRDefault="00836BC9" w:rsidP="00836BC9">
      <w:pPr>
        <w:pStyle w:val="ac"/>
        <w:jc w:val="center"/>
        <w:rPr>
          <w:rFonts w:ascii="Times New Roman" w:hAnsi="Times New Roman" w:cs="Times New Roman"/>
          <w:b/>
          <w:bCs/>
          <w:sz w:val="28"/>
          <w:szCs w:val="28"/>
        </w:rPr>
      </w:pPr>
    </w:p>
    <w:p w14:paraId="44732016" w14:textId="77777777" w:rsidR="00836BC9" w:rsidRDefault="00836BC9" w:rsidP="00836BC9">
      <w:pPr>
        <w:pStyle w:val="ac"/>
        <w:jc w:val="center"/>
        <w:rPr>
          <w:rFonts w:ascii="Times New Roman" w:hAnsi="Times New Roman" w:cs="Times New Roman"/>
          <w:b/>
          <w:bCs/>
          <w:sz w:val="28"/>
          <w:szCs w:val="28"/>
        </w:rPr>
      </w:pPr>
    </w:p>
    <w:p w14:paraId="0FA2C922" w14:textId="77777777" w:rsidR="00836BC9" w:rsidRDefault="00836BC9" w:rsidP="00836BC9">
      <w:pPr>
        <w:pStyle w:val="ac"/>
        <w:jc w:val="center"/>
        <w:rPr>
          <w:rFonts w:ascii="Times New Roman" w:hAnsi="Times New Roman" w:cs="Times New Roman"/>
          <w:b/>
          <w:bCs/>
          <w:sz w:val="28"/>
          <w:szCs w:val="28"/>
        </w:rPr>
      </w:pPr>
    </w:p>
    <w:p w14:paraId="730AC85C"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Сақтандыру (қайта сақтандыру) ұйымдарының, сақтандыру брокерлерінің, брокерлерінің, бағалы қағаздарды ұстаушылардың тізілімдері жүйесін жүргізу жөніндегі қызметті жүзеге асыратын ұйымдардың мемлекеттік кірістер органына ұсынуының кейбір мәселелері туралы, бағалы қағаздар нарығының кәсіби қатысушылары, "Астана" халықаралық қаржы орталығының қатысушысы, қарыздық краудфандинг платформасын, несиелік бюроларды басқару жөніндегі қызметті жүзеге асыруға лицензиясы бар, активтері мен міндеттемелері туралы, кірістері мен мүлкі туралы салық есептілігін ұсыну міндеттемесі туындаған жеке тұлғалардың салықтық әкімшілендіруіне қажетті мәліметтер</w:t>
      </w:r>
    </w:p>
    <w:p w14:paraId="7FB5554C" w14:textId="77777777" w:rsidR="00836BC9" w:rsidRPr="004B2C39" w:rsidRDefault="00836BC9" w:rsidP="00836BC9">
      <w:pPr>
        <w:pStyle w:val="ac"/>
        <w:jc w:val="both"/>
        <w:rPr>
          <w:rFonts w:ascii="Times New Roman" w:hAnsi="Times New Roman" w:cs="Times New Roman"/>
          <w:sz w:val="28"/>
          <w:szCs w:val="28"/>
        </w:rPr>
      </w:pPr>
    </w:p>
    <w:p w14:paraId="6A9649C1" w14:textId="115AB663" w:rsidR="00836BC9" w:rsidRPr="004B2C39" w:rsidRDefault="00836BC9" w:rsidP="00836BC9">
      <w:pPr>
        <w:pStyle w:val="ac"/>
        <w:ind w:firstLine="708"/>
        <w:jc w:val="both"/>
        <w:rPr>
          <w:rFonts w:ascii="Times New Roman" w:hAnsi="Times New Roman" w:cs="Times New Roman"/>
          <w:b/>
          <w:bCs/>
          <w:color w:val="000000"/>
          <w:sz w:val="28"/>
          <w:szCs w:val="28"/>
        </w:rPr>
      </w:pPr>
      <w:r w:rsidRPr="004B2C39">
        <w:rPr>
          <w:rFonts w:ascii="Times New Roman" w:hAnsi="Times New Roman" w:cs="Times New Roman"/>
          <w:color w:val="000000"/>
          <w:sz w:val="28"/>
          <w:szCs w:val="28"/>
        </w:rPr>
        <w:t xml:space="preserve">Сәйкес </w:t>
      </w:r>
      <w:r w:rsidRPr="004B2C39">
        <w:rPr>
          <w:rFonts w:ascii="Times New Roman" w:hAnsi="Times New Roman" w:cs="Times New Roman"/>
          <w:sz w:val="28"/>
          <w:szCs w:val="28"/>
        </w:rPr>
        <w:t xml:space="preserve">54-баптың </w:t>
      </w:r>
      <w:bookmarkStart w:id="0" w:name="_Hlk208474363"/>
      <w:r w:rsidRPr="004B2C39">
        <w:rPr>
          <w:rFonts w:ascii="Times New Roman" w:hAnsi="Times New Roman" w:cs="Times New Roman"/>
          <w:sz w:val="28"/>
          <w:szCs w:val="28"/>
        </w:rPr>
        <w:t>6, 7 және 8-</w:t>
      </w:r>
      <w:bookmarkStart w:id="1" w:name="_Hlk208474347"/>
      <w:bookmarkEnd w:id="0"/>
      <w:r w:rsidRPr="004B2C39">
        <w:rPr>
          <w:rFonts w:ascii="Times New Roman" w:hAnsi="Times New Roman" w:cs="Times New Roman"/>
          <w:sz w:val="28"/>
          <w:szCs w:val="28"/>
        </w:rPr>
        <w:t>тармақтарымен</w:t>
      </w:r>
      <w:bookmarkEnd w:id="1"/>
      <w:r w:rsidRPr="004B2C39">
        <w:rPr>
          <w:rFonts w:ascii="Times New Roman" w:hAnsi="Times New Roman" w:cs="Times New Roman"/>
          <w:sz w:val="28"/>
          <w:szCs w:val="28"/>
        </w:rPr>
        <w:t>, 4, 13, 15 және 19-тармақтарымен</w:t>
      </w:r>
      <w:r w:rsidR="002C1FD5">
        <w:rPr>
          <w:rFonts w:ascii="Times New Roman" w:hAnsi="Times New Roman" w:cs="Times New Roman"/>
          <w:sz w:val="28"/>
          <w:szCs w:val="28"/>
          <w:lang w:val="kk-KZ"/>
        </w:rPr>
        <w:t xml:space="preserve"> </w:t>
      </w:r>
      <w:r w:rsidRPr="004B2C39">
        <w:rPr>
          <w:rFonts w:ascii="Times New Roman" w:hAnsi="Times New Roman" w:cs="Times New Roman"/>
          <w:sz w:val="28"/>
          <w:szCs w:val="28"/>
        </w:rPr>
        <w:t xml:space="preserve">Қазақстан Республикасы </w:t>
      </w:r>
      <w:proofErr w:type="spellStart"/>
      <w:r w:rsidRPr="004B2C39">
        <w:rPr>
          <w:rFonts w:ascii="Times New Roman" w:hAnsi="Times New Roman" w:cs="Times New Roman"/>
          <w:sz w:val="28"/>
          <w:szCs w:val="28"/>
        </w:rPr>
        <w:t>Салық</w:t>
      </w:r>
      <w:proofErr w:type="spellEnd"/>
      <w:r w:rsidRPr="004B2C39">
        <w:rPr>
          <w:rFonts w:ascii="Times New Roman" w:hAnsi="Times New Roman" w:cs="Times New Roman"/>
          <w:sz w:val="28"/>
          <w:szCs w:val="28"/>
        </w:rPr>
        <w:t xml:space="preserve"> кодексінің 56-бабының және 2) тармақшасының талаптарына сәйкес жүзеге асырылады. "Мемлекеттік статистика туралы" Қазақстан Республикасы Заңының 16-бабы 3-тармағының</w:t>
      </w:r>
      <w:r w:rsidRPr="004B2C39">
        <w:rPr>
          <w:rFonts w:ascii="Times New Roman" w:hAnsi="Times New Roman" w:cs="Times New Roman"/>
          <w:color w:val="000000"/>
          <w:sz w:val="28"/>
          <w:szCs w:val="28"/>
        </w:rPr>
        <w:t xml:space="preserve"> </w:t>
      </w:r>
      <w:r w:rsidRPr="004B2C39">
        <w:rPr>
          <w:rFonts w:ascii="Times New Roman" w:hAnsi="Times New Roman" w:cs="Times New Roman"/>
          <w:b/>
          <w:bCs/>
          <w:color w:val="000000"/>
          <w:sz w:val="28"/>
          <w:szCs w:val="28"/>
        </w:rPr>
        <w:t>БҰЙЫРАМЫН:</w:t>
      </w:r>
    </w:p>
    <w:p w14:paraId="229868C7" w14:textId="77777777" w:rsidR="00836BC9" w:rsidRPr="004B2C39" w:rsidRDefault="00836BC9" w:rsidP="00836BC9">
      <w:pPr>
        <w:pStyle w:val="ac"/>
        <w:numPr>
          <w:ilvl w:val="0"/>
          <w:numId w:val="12"/>
        </w:numPr>
        <w:jc w:val="both"/>
        <w:rPr>
          <w:rFonts w:ascii="Times New Roman" w:eastAsia="Times New Roman" w:hAnsi="Times New Roman" w:cs="Times New Roman"/>
          <w:sz w:val="28"/>
          <w:szCs w:val="28"/>
          <w:lang w:eastAsia="ru-RU"/>
        </w:rPr>
      </w:pPr>
      <w:r w:rsidRPr="004B2C39">
        <w:rPr>
          <w:rFonts w:ascii="Times New Roman" w:hAnsi="Times New Roman" w:cs="Times New Roman"/>
          <w:color w:val="000000"/>
          <w:sz w:val="28"/>
          <w:szCs w:val="28"/>
        </w:rPr>
        <w:t>Бекітілсін.:</w:t>
      </w:r>
    </w:p>
    <w:p w14:paraId="0548EEF4" w14:textId="4F07C194" w:rsidR="00836BC9" w:rsidRPr="004B2C39" w:rsidRDefault="00836BC9" w:rsidP="00836BC9">
      <w:pPr>
        <w:pStyle w:val="ac"/>
        <w:numPr>
          <w:ilvl w:val="0"/>
          <w:numId w:val="13"/>
        </w:numPr>
        <w:jc w:val="both"/>
        <w:rPr>
          <w:rFonts w:ascii="Times New Roman" w:eastAsia="Times New Roman" w:hAnsi="Times New Roman" w:cs="Times New Roman"/>
          <w:sz w:val="28"/>
          <w:szCs w:val="28"/>
          <w:lang w:eastAsia="ru-RU"/>
        </w:rPr>
      </w:pPr>
      <w:r w:rsidRPr="004B2C39">
        <w:rPr>
          <w:rFonts w:ascii="Times New Roman" w:eastAsia="Times New Roman" w:hAnsi="Times New Roman" w:cs="Times New Roman"/>
          <w:sz w:val="28"/>
          <w:szCs w:val="28"/>
          <w:lang w:eastAsia="ru-RU"/>
        </w:rPr>
        <w:t>бойынша мәліметтер нысаны</w:t>
      </w:r>
      <w:r w:rsidRPr="004B2C39">
        <w:rPr>
          <w:rFonts w:ascii="Times New Roman" w:hAnsi="Times New Roman" w:cs="Times New Roman"/>
          <w:sz w:val="28"/>
          <w:szCs w:val="28"/>
          <w:lang w:eastAsia="ru-RU"/>
        </w:rPr>
        <w:t xml:space="preserve">   жеке тұлғалар жасасқан шарттар бойынша</w:t>
      </w:r>
    </w:p>
    <w:p w14:paraId="10422AF0" w14:textId="72BE301E" w:rsidR="00836BC9" w:rsidRPr="004B2C39" w:rsidRDefault="00836BC9" w:rsidP="00836BC9">
      <w:pPr>
        <w:pStyle w:val="ac"/>
        <w:jc w:val="both"/>
        <w:rPr>
          <w:rFonts w:ascii="Times New Roman" w:eastAsia="Times New Roman" w:hAnsi="Times New Roman" w:cs="Times New Roman"/>
          <w:sz w:val="28"/>
          <w:szCs w:val="28"/>
          <w:lang w:eastAsia="ru-RU"/>
        </w:rPr>
      </w:pPr>
      <w:r w:rsidRPr="004B2C39">
        <w:rPr>
          <w:rFonts w:ascii="Times New Roman" w:hAnsi="Times New Roman" w:cs="Times New Roman"/>
          <w:sz w:val="28"/>
          <w:szCs w:val="28"/>
          <w:lang w:eastAsia="ru-RU"/>
        </w:rPr>
        <w:t>сақтандыру,</w:t>
      </w:r>
      <w:r w:rsidRPr="004B2C39">
        <w:rPr>
          <w:rFonts w:ascii="Times New Roman" w:eastAsia="Times New Roman" w:hAnsi="Times New Roman" w:cs="Times New Roman"/>
          <w:sz w:val="28"/>
          <w:szCs w:val="28"/>
          <w:lang w:eastAsia="ru-RU"/>
        </w:rPr>
        <w:t xml:space="preserve"> мемлекеттік кірістер органына сақтандыру (қайта сақтандыру) ұйымдары ұсынатын мәліметтер </w:t>
      </w:r>
      <w:r w:rsidRPr="004B2C39">
        <w:rPr>
          <w:rFonts w:ascii="Times New Roman" w:hAnsi="Times New Roman" w:cs="Times New Roman"/>
          <w:sz w:val="28"/>
          <w:szCs w:val="28"/>
          <w:lang w:eastAsia="ru-RU"/>
        </w:rPr>
        <w:t xml:space="preserve">ұйымдармен, сақтандыру брокерлерімен, </w:t>
      </w:r>
      <w:r w:rsidRPr="004B2C39">
        <w:rPr>
          <w:rFonts w:ascii="Times New Roman" w:hAnsi="Times New Roman" w:cs="Times New Roman"/>
          <w:color w:val="000000"/>
          <w:sz w:val="28"/>
          <w:szCs w:val="28"/>
        </w:rPr>
        <w:t>осы бұйрыққа 1-қосымшаға сәйкес;</w:t>
      </w:r>
      <w:r w:rsidRPr="004B2C39">
        <w:rPr>
          <w:rFonts w:ascii="Times New Roman" w:eastAsia="Times New Roman" w:hAnsi="Times New Roman" w:cs="Times New Roman"/>
          <w:sz w:val="28"/>
          <w:szCs w:val="28"/>
          <w:lang w:eastAsia="ru-RU"/>
        </w:rPr>
        <w:t xml:space="preserve"> </w:t>
      </w:r>
    </w:p>
    <w:p w14:paraId="5576031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eastAsia="Times New Roman" w:hAnsi="Times New Roman" w:cs="Times New Roman"/>
          <w:sz w:val="28"/>
          <w:szCs w:val="28"/>
          <w:lang w:eastAsia="ru-RU"/>
        </w:rPr>
        <w:t>2) Сақтандыру (қайта сақтандыру) ұйымдарының, сақтандыру брокерлерінің мемлекеттік кіріс органына табыс ету қағидалары мен мерзімдері</w:t>
      </w:r>
      <w:r w:rsidRPr="004B2C39">
        <w:rPr>
          <w:rFonts w:ascii="Times New Roman" w:hAnsi="Times New Roman" w:cs="Times New Roman"/>
          <w:color w:val="000000"/>
          <w:sz w:val="28"/>
          <w:szCs w:val="28"/>
        </w:rPr>
        <w:t xml:space="preserve"> </w:t>
      </w:r>
      <w:r w:rsidRPr="004B2C39">
        <w:rPr>
          <w:rFonts w:ascii="Times New Roman" w:eastAsia="Times New Roman" w:hAnsi="Times New Roman" w:cs="Times New Roman"/>
          <w:sz w:val="28"/>
          <w:szCs w:val="28"/>
          <w:lang w:eastAsia="ru-RU"/>
        </w:rPr>
        <w:t xml:space="preserve">жеке тұлғалармен жасалған сақтандыру шарттары бойынша мәліметтер, </w:t>
      </w:r>
      <w:r w:rsidRPr="004B2C39">
        <w:rPr>
          <w:rFonts w:ascii="Times New Roman" w:hAnsi="Times New Roman" w:cs="Times New Roman"/>
          <w:color w:val="000000"/>
          <w:sz w:val="28"/>
          <w:szCs w:val="28"/>
        </w:rPr>
        <w:t>осы бұйрыққа 2-қосымшаға сәйкес;</w:t>
      </w:r>
    </w:p>
    <w:p w14:paraId="2B6080C3"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t xml:space="preserve">3) мәліметтер нысаны </w:t>
      </w:r>
      <w:r w:rsidRPr="004B2C39">
        <w:rPr>
          <w:rFonts w:ascii="Times New Roman" w:eastAsia="Times New Roman" w:hAnsi="Times New Roman" w:cs="Times New Roman"/>
          <w:sz w:val="28"/>
          <w:szCs w:val="28"/>
          <w:lang w:eastAsia="ru-RU"/>
        </w:rPr>
        <w:t xml:space="preserve">қорытындылары бойынша жасалған бағалы қағаздармен мәмілелер бойынша </w:t>
      </w:r>
      <w:r w:rsidRPr="004B2C39">
        <w:rPr>
          <w:rFonts w:ascii="Times New Roman" w:hAnsi="Times New Roman" w:cs="Times New Roman"/>
          <w:sz w:val="28"/>
          <w:szCs w:val="28"/>
        </w:rPr>
        <w:t>сауда-саттық,</w:t>
      </w:r>
      <w:r w:rsidRPr="004B2C39">
        <w:rPr>
          <w:rFonts w:ascii="Times New Roman" w:hAnsi="Times New Roman" w:cs="Times New Roman"/>
          <w:sz w:val="28"/>
          <w:szCs w:val="28"/>
          <w:lang w:eastAsia="ru-RU"/>
        </w:rPr>
        <w:t xml:space="preserve"> ұсынылатын тұлғалардың </w:t>
      </w:r>
      <w:r w:rsidRPr="004B2C39">
        <w:rPr>
          <w:rFonts w:ascii="Times New Roman" w:eastAsia="Times New Roman" w:hAnsi="Times New Roman" w:cs="Times New Roman"/>
          <w:sz w:val="28"/>
          <w:szCs w:val="28"/>
          <w:lang w:eastAsia="ru-RU"/>
        </w:rPr>
        <w:t>мемлекеттік кірістер органына</w:t>
      </w:r>
      <w:r w:rsidRPr="004B2C39">
        <w:rPr>
          <w:rFonts w:ascii="Times New Roman" w:hAnsi="Times New Roman" w:cs="Times New Roman"/>
          <w:sz w:val="28"/>
          <w:szCs w:val="28"/>
          <w:lang w:eastAsia="ru-RU"/>
        </w:rPr>
        <w:t xml:space="preserve"> брокерлермен, сәйкес </w:t>
      </w:r>
      <w:r w:rsidRPr="004B2C39">
        <w:rPr>
          <w:rFonts w:ascii="Times New Roman" w:hAnsi="Times New Roman" w:cs="Times New Roman"/>
          <w:color w:val="000000"/>
          <w:sz w:val="28"/>
          <w:szCs w:val="28"/>
        </w:rPr>
        <w:t>осы бұйрыққа 3-қосымшаға сәйкес;</w:t>
      </w:r>
    </w:p>
    <w:p w14:paraId="30388DA9"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lastRenderedPageBreak/>
        <w:t xml:space="preserve">4) нысанды </w:t>
      </w:r>
      <w:r w:rsidRPr="004B2C39">
        <w:rPr>
          <w:rFonts w:ascii="Times New Roman" w:hAnsi="Times New Roman" w:cs="Times New Roman"/>
          <w:sz w:val="28"/>
          <w:szCs w:val="28"/>
        </w:rPr>
        <w:t>тауар биржаларының (немесе) тауар биржаларының клирингтік орталықтары мемлекеттік кірістер органына ұсынатын, тұлғалардың тауар биржасында өткізілген биржалық тауарлармен мәмілелері туралы мәліметтер</w:t>
      </w:r>
      <w:r w:rsidRPr="004B2C39">
        <w:rPr>
          <w:rFonts w:ascii="Times New Roman" w:hAnsi="Times New Roman" w:cs="Times New Roman"/>
          <w:sz w:val="28"/>
          <w:szCs w:val="28"/>
          <w:lang w:eastAsia="ru-RU"/>
        </w:rPr>
        <w:t xml:space="preserve">, сәйкес </w:t>
      </w:r>
      <w:r w:rsidRPr="004B2C39">
        <w:rPr>
          <w:rFonts w:ascii="Times New Roman" w:hAnsi="Times New Roman" w:cs="Times New Roman"/>
          <w:sz w:val="28"/>
          <w:szCs w:val="28"/>
        </w:rPr>
        <w:t xml:space="preserve">қосымшаға </w:t>
      </w:r>
      <w:r w:rsidRPr="004B2C39">
        <w:rPr>
          <w:rFonts w:ascii="Times New Roman" w:hAnsi="Times New Roman" w:cs="Times New Roman"/>
          <w:color w:val="000000"/>
          <w:sz w:val="28"/>
          <w:szCs w:val="28"/>
        </w:rPr>
        <w:t>осы бұйрыққа сәйкес;</w:t>
      </w:r>
    </w:p>
    <w:p w14:paraId="049F578D"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t xml:space="preserve">5) бағалы қағаздарды ұстаушы тұлғалар туралы, сондай–ақ тұлғалардың бағалы қағаздармен жасалатын мәмілелері туралы мәліметтер нысаны; </w:t>
      </w:r>
      <w:r w:rsidRPr="004B2C39">
        <w:rPr>
          <w:rFonts w:ascii="Times New Roman" w:hAnsi="Times New Roman" w:cs="Times New Roman"/>
          <w:sz w:val="28"/>
          <w:szCs w:val="28"/>
        </w:rPr>
        <w:t>о</w:t>
      </w:r>
      <w:r w:rsidRPr="004B2C39">
        <w:rPr>
          <w:rFonts w:ascii="Times New Roman" w:hAnsi="Times New Roman" w:cs="Times New Roman"/>
          <w:sz w:val="28"/>
          <w:szCs w:val="28"/>
          <w:lang w:eastAsia="ru-RU"/>
        </w:rPr>
        <w:t xml:space="preserve">бағалы қағаздарды ұстаушылардың тізілімдері жүйесін жүргізу жөніндегі қызметті жүзеге асыратын ұйым, сәйкес </w:t>
      </w:r>
      <w:r w:rsidRPr="004B2C39">
        <w:rPr>
          <w:rFonts w:ascii="Times New Roman" w:hAnsi="Times New Roman" w:cs="Times New Roman"/>
          <w:color w:val="000000"/>
          <w:sz w:val="28"/>
          <w:szCs w:val="28"/>
        </w:rPr>
        <w:t>осы бұйрыққа 5-қосымшаға сәйкес;</w:t>
      </w:r>
    </w:p>
    <w:p w14:paraId="6FEE76D0"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t xml:space="preserve">6) Ұсыну қағидалары </w:t>
      </w:r>
      <w:r w:rsidRPr="004B2C39">
        <w:rPr>
          <w:rFonts w:ascii="Times New Roman" w:hAnsi="Times New Roman" w:cs="Times New Roman"/>
          <w:sz w:val="28"/>
          <w:szCs w:val="28"/>
        </w:rPr>
        <w:t>о</w:t>
      </w:r>
      <w:r w:rsidRPr="004B2C39">
        <w:rPr>
          <w:rFonts w:ascii="Times New Roman" w:hAnsi="Times New Roman" w:cs="Times New Roman"/>
          <w:sz w:val="28"/>
          <w:szCs w:val="28"/>
          <w:lang w:eastAsia="ru-RU"/>
        </w:rPr>
        <w:t xml:space="preserve">бағалы қағаздарды ұстаушылардың тізілімдері жүйесін мемлекеттік кірістер органына бағалы қағаздарды ұстаушы тұлғалар туралы, сондай–ақ тұлғалардың бағалы қағаздармен мәмілелері туралы ақпаратты жүргізу жөніндегі қызметті жүзеге асыратын ұйым, сәйкес </w:t>
      </w:r>
      <w:r w:rsidRPr="004B2C39">
        <w:rPr>
          <w:rFonts w:ascii="Times New Roman" w:hAnsi="Times New Roman" w:cs="Times New Roman"/>
          <w:color w:val="000000"/>
          <w:sz w:val="28"/>
          <w:szCs w:val="28"/>
        </w:rPr>
        <w:t>осы бұйрыққа 6-қосымшаға сәйкес;</w:t>
      </w:r>
    </w:p>
    <w:p w14:paraId="2A510B6A"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7) мемлекеттік кірістер органының ұсыным туралы сұрау салу нысаны </w:t>
      </w:r>
      <w:r w:rsidRPr="004B2C39">
        <w:rPr>
          <w:rFonts w:ascii="Times New Roman" w:hAnsi="Times New Roman" w:cs="Times New Roman"/>
          <w:sz w:val="28"/>
          <w:szCs w:val="28"/>
          <w:lang w:eastAsia="ru-RU"/>
        </w:rPr>
        <w:t>бағалы қағаздар нарығының кәсіби қатысушыларымен</w:t>
      </w:r>
      <w:r w:rsidRPr="004B2C39">
        <w:rPr>
          <w:rFonts w:ascii="Times New Roman" w:hAnsi="Times New Roman" w:cs="Times New Roman"/>
          <w:color w:val="000000"/>
          <w:sz w:val="28"/>
          <w:szCs w:val="28"/>
        </w:rPr>
        <w:t xml:space="preserve"> мәліметтерді </w:t>
      </w:r>
      <w:r w:rsidRPr="004B2C39">
        <w:rPr>
          <w:rFonts w:ascii="Times New Roman" w:hAnsi="Times New Roman" w:cs="Times New Roman"/>
          <w:sz w:val="28"/>
          <w:szCs w:val="28"/>
          <w:lang w:eastAsia="ru-RU"/>
        </w:rPr>
        <w:t xml:space="preserve">бағалы қағаздармен, туынды қаржы құралдарымен жасалған мәмілелер туралы </w:t>
      </w:r>
      <w:r w:rsidRPr="004B2C39">
        <w:rPr>
          <w:rFonts w:ascii="Times New Roman" w:hAnsi="Times New Roman" w:cs="Times New Roman"/>
          <w:color w:val="000000"/>
          <w:sz w:val="28"/>
          <w:szCs w:val="28"/>
        </w:rPr>
        <w:t>осы бұйрыққа 7-қосымшаға сәйкес;</w:t>
      </w:r>
    </w:p>
    <w:p w14:paraId="022FB31C"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8) мемлекеттік кірістер органының ұсыным туралы сұрау салу нысаны </w:t>
      </w:r>
      <w:r w:rsidRPr="004B2C39">
        <w:rPr>
          <w:rFonts w:ascii="Times New Roman" w:hAnsi="Times New Roman" w:cs="Times New Roman"/>
          <w:color w:val="000000"/>
          <w:sz w:val="28"/>
        </w:rPr>
        <w:t>тауар биржаларының және (немесе) тауар биржаларының клирингтік орталықтарының</w:t>
      </w:r>
      <w:r w:rsidRPr="004B2C39">
        <w:rPr>
          <w:rFonts w:ascii="Times New Roman" w:hAnsi="Times New Roman" w:cs="Times New Roman"/>
          <w:color w:val="000000"/>
          <w:sz w:val="28"/>
          <w:szCs w:val="28"/>
        </w:rPr>
        <w:t xml:space="preserve"> мәліметтерді </w:t>
      </w:r>
      <w:r w:rsidRPr="004B2C39">
        <w:rPr>
          <w:rFonts w:ascii="Times New Roman" w:hAnsi="Times New Roman" w:cs="Times New Roman"/>
          <w:sz w:val="28"/>
          <w:szCs w:val="28"/>
          <w:lang w:eastAsia="ru-RU"/>
        </w:rPr>
        <w:t xml:space="preserve">мәмілелер туралы </w:t>
      </w:r>
      <w:r w:rsidRPr="004B2C39">
        <w:rPr>
          <w:rFonts w:ascii="Times New Roman" w:hAnsi="Times New Roman" w:cs="Times New Roman"/>
          <w:color w:val="000000"/>
          <w:sz w:val="28"/>
        </w:rPr>
        <w:t xml:space="preserve">тауар биржасында өткізілген биржалық тауарлармен жеке тұлғалардың, </w:t>
      </w:r>
      <w:r w:rsidRPr="004B2C39">
        <w:rPr>
          <w:rFonts w:ascii="Times New Roman" w:hAnsi="Times New Roman" w:cs="Times New Roman"/>
          <w:sz w:val="28"/>
          <w:szCs w:val="28"/>
          <w:lang w:eastAsia="ru-RU"/>
        </w:rPr>
        <w:t xml:space="preserve">сәйкес </w:t>
      </w:r>
      <w:r w:rsidRPr="004B2C39">
        <w:rPr>
          <w:rFonts w:ascii="Times New Roman" w:hAnsi="Times New Roman" w:cs="Times New Roman"/>
          <w:color w:val="000000"/>
          <w:sz w:val="28"/>
          <w:szCs w:val="28"/>
        </w:rPr>
        <w:t>осы бұйрыққа 8-қосымшаға сәйкес;</w:t>
      </w:r>
    </w:p>
    <w:p w14:paraId="7AF6E53A"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rPr>
        <w:t xml:space="preserve">9) </w:t>
      </w:r>
      <w:r w:rsidRPr="004B2C39">
        <w:rPr>
          <w:rFonts w:ascii="Times New Roman" w:hAnsi="Times New Roman" w:cs="Times New Roman"/>
          <w:sz w:val="28"/>
          <w:szCs w:val="28"/>
          <w:lang w:eastAsia="ru-RU"/>
        </w:rPr>
        <w:t xml:space="preserve">мемлекеттік кірістер органына бағалы қағаздар нарығының кәсіби қатысушылары ұсынатын бағалы қағаздармен, туынды қаржы құралдарымен мәмілелер туралы мәліметтер нысаны, сәйкес </w:t>
      </w:r>
      <w:r w:rsidRPr="004B2C39">
        <w:rPr>
          <w:rFonts w:ascii="Times New Roman" w:hAnsi="Times New Roman" w:cs="Times New Roman"/>
          <w:color w:val="000000"/>
          <w:sz w:val="28"/>
          <w:szCs w:val="28"/>
        </w:rPr>
        <w:t>осы бұйрыққа 9-қосымшаға сәйкес;</w:t>
      </w:r>
    </w:p>
    <w:p w14:paraId="6CC4DAC8"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10) мәліметтер нысаны </w:t>
      </w:r>
      <w:r w:rsidRPr="004B2C39">
        <w:rPr>
          <w:rFonts w:ascii="Times New Roman" w:hAnsi="Times New Roman" w:cs="Times New Roman"/>
          <w:sz w:val="28"/>
          <w:szCs w:val="28"/>
          <w:lang w:eastAsia="ru-RU"/>
        </w:rPr>
        <w:t xml:space="preserve">мәмілелер туралы </w:t>
      </w:r>
      <w:r w:rsidRPr="004B2C39">
        <w:rPr>
          <w:rFonts w:ascii="Times New Roman" w:hAnsi="Times New Roman" w:cs="Times New Roman"/>
          <w:color w:val="000000"/>
          <w:sz w:val="28"/>
        </w:rPr>
        <w:t>тауар биржасында өткізілген биржалық тауарлармен жеке тұлғалардың,</w:t>
      </w:r>
      <w:r w:rsidRPr="004B2C39">
        <w:rPr>
          <w:rFonts w:ascii="Times New Roman" w:hAnsi="Times New Roman" w:cs="Times New Roman"/>
          <w:sz w:val="28"/>
          <w:szCs w:val="28"/>
          <w:lang w:eastAsia="ru-RU"/>
        </w:rPr>
        <w:t xml:space="preserve"> ұсынылатын тұлғалардың </w:t>
      </w:r>
      <w:r w:rsidRPr="004B2C39">
        <w:rPr>
          <w:rFonts w:ascii="Times New Roman" w:hAnsi="Times New Roman" w:cs="Times New Roman"/>
          <w:color w:val="000000"/>
          <w:sz w:val="28"/>
        </w:rPr>
        <w:t>тауар биржаларының және (немесе) тауар биржаларының клирингтік орталықтарының</w:t>
      </w:r>
      <w:r w:rsidRPr="004B2C39">
        <w:rPr>
          <w:rFonts w:ascii="Times New Roman" w:hAnsi="Times New Roman" w:cs="Times New Roman"/>
          <w:sz w:val="28"/>
          <w:szCs w:val="28"/>
          <w:lang w:eastAsia="ru-RU"/>
        </w:rPr>
        <w:t xml:space="preserve">, сәйкес </w:t>
      </w:r>
      <w:r w:rsidRPr="004B2C39">
        <w:rPr>
          <w:rFonts w:ascii="Times New Roman" w:hAnsi="Times New Roman" w:cs="Times New Roman"/>
          <w:color w:val="000000"/>
          <w:sz w:val="28"/>
          <w:szCs w:val="28"/>
        </w:rPr>
        <w:t>осы бұйрыққа 10-қосымшаға сәйкес;</w:t>
      </w:r>
    </w:p>
    <w:p w14:paraId="570A0D09"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rPr>
        <w:t xml:space="preserve">11) </w:t>
      </w:r>
      <w:r w:rsidRPr="004B2C39">
        <w:rPr>
          <w:rFonts w:ascii="Times New Roman" w:hAnsi="Times New Roman" w:cs="Times New Roman"/>
          <w:sz w:val="28"/>
          <w:szCs w:val="28"/>
          <w:lang w:eastAsia="ru-RU"/>
        </w:rPr>
        <w:t xml:space="preserve">краудфандингтік платформаларда жасалған шарттар, сондай-ақ резиденттер мен резидент еместерге төленген сыйақылар туралы мәліметтер нысаны </w:t>
      </w:r>
      <w:r w:rsidRPr="004B2C39">
        <w:rPr>
          <w:rFonts w:ascii="Times New Roman" w:hAnsi="Times New Roman" w:cs="Times New Roman"/>
          <w:sz w:val="28"/>
          <w:szCs w:val="28"/>
        </w:rPr>
        <w:t xml:space="preserve">"Астана" халықаралық қаржы орталығының қатысушысы ретінде, </w:t>
      </w:r>
      <w:r w:rsidRPr="004B2C39">
        <w:rPr>
          <w:rFonts w:ascii="Times New Roman" w:hAnsi="Times New Roman" w:cs="Times New Roman"/>
          <w:color w:val="000000"/>
          <w:sz w:val="28"/>
        </w:rPr>
        <w:t>қарыздық краудфандингтік платформаны басқару бойынша қызметті жүзеге асыруға лицензиясы бар тұлғаларға,</w:t>
      </w:r>
      <w:r w:rsidRPr="004B2C39">
        <w:rPr>
          <w:rFonts w:ascii="Times New Roman" w:hAnsi="Times New Roman" w:cs="Times New Roman"/>
          <w:sz w:val="28"/>
          <w:szCs w:val="28"/>
          <w:lang w:eastAsia="ru-RU"/>
        </w:rPr>
        <w:t xml:space="preserve"> сәйкес </w:t>
      </w:r>
      <w:r w:rsidRPr="004B2C39">
        <w:rPr>
          <w:rFonts w:ascii="Times New Roman" w:hAnsi="Times New Roman" w:cs="Times New Roman"/>
          <w:color w:val="000000"/>
          <w:sz w:val="28"/>
          <w:szCs w:val="28"/>
        </w:rPr>
        <w:t>осы бұйрыққа 11-қосымшаға сәйкес;</w:t>
      </w:r>
    </w:p>
    <w:p w14:paraId="37A2FF24"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t xml:space="preserve">12) Ұсыну қағидалары </w:t>
      </w:r>
      <w:r w:rsidRPr="004B2C39">
        <w:rPr>
          <w:rFonts w:ascii="Times New Roman" w:hAnsi="Times New Roman" w:cs="Times New Roman"/>
          <w:sz w:val="28"/>
          <w:szCs w:val="28"/>
        </w:rPr>
        <w:t xml:space="preserve">"Астана" халықаралық қаржы орталығының қарыздық краудфандингтік платформаны басқару қызметін жүзеге асыруға лицензиясы бар қатысушысы, </w:t>
      </w:r>
      <w:r w:rsidRPr="004B2C39">
        <w:rPr>
          <w:rFonts w:ascii="Times New Roman" w:hAnsi="Times New Roman" w:cs="Times New Roman"/>
          <w:sz w:val="28"/>
          <w:szCs w:val="28"/>
          <w:lang w:eastAsia="ru-RU"/>
        </w:rPr>
        <w:t xml:space="preserve">мемлекеттік кірістер органына краудфандингтік платформаларда жасалған шарттар, сондай-ақ резиденттер мен резидент еместерге төленген сыйақылар туралы мәліметтер, сәйкес </w:t>
      </w:r>
      <w:r w:rsidRPr="004B2C39">
        <w:rPr>
          <w:rFonts w:ascii="Times New Roman" w:hAnsi="Times New Roman" w:cs="Times New Roman"/>
          <w:color w:val="000000"/>
          <w:sz w:val="28"/>
          <w:szCs w:val="28"/>
        </w:rPr>
        <w:t>осы бұйрыққа 12-қосымшаға сәйкес;</w:t>
      </w:r>
    </w:p>
    <w:p w14:paraId="0322DF00"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13) </w:t>
      </w:r>
      <w:r w:rsidRPr="004B2C39">
        <w:rPr>
          <w:rFonts w:ascii="Times New Roman" w:hAnsi="Times New Roman" w:cs="Times New Roman"/>
          <w:sz w:val="28"/>
          <w:szCs w:val="28"/>
        </w:rPr>
        <w:t xml:space="preserve">кредиттік бюро ұсынатын коллекторлық және (немесе) микроқаржы ұйымдары алдындағы активтері мен міндеттемелері, кірістері мен мүлкі туралы </w:t>
      </w:r>
      <w:r w:rsidRPr="004B2C39">
        <w:rPr>
          <w:rFonts w:ascii="Times New Roman" w:hAnsi="Times New Roman" w:cs="Times New Roman"/>
          <w:sz w:val="28"/>
          <w:szCs w:val="28"/>
        </w:rPr>
        <w:lastRenderedPageBreak/>
        <w:t xml:space="preserve">декларацияларды ұсыну міндеттемесі туындаған жеке тұлғалардың берешегі туралы кредиттік есептен мәліметтер нысаны, </w:t>
      </w:r>
      <w:r w:rsidRPr="004B2C39">
        <w:rPr>
          <w:rFonts w:ascii="Times New Roman" w:hAnsi="Times New Roman" w:cs="Times New Roman"/>
          <w:sz w:val="28"/>
          <w:szCs w:val="28"/>
          <w:lang w:eastAsia="ru-RU"/>
        </w:rPr>
        <w:t xml:space="preserve">сәйкес </w:t>
      </w:r>
      <w:r w:rsidRPr="004B2C39">
        <w:rPr>
          <w:rFonts w:ascii="Times New Roman" w:hAnsi="Times New Roman" w:cs="Times New Roman"/>
          <w:color w:val="000000"/>
          <w:sz w:val="28"/>
          <w:szCs w:val="28"/>
        </w:rPr>
        <w:t>осы бұйрыққа 13-қосымшаға сәйкес;</w:t>
      </w:r>
    </w:p>
    <w:p w14:paraId="6BD1AB16"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14) Б</w:t>
      </w:r>
      <w:r w:rsidRPr="004B2C39">
        <w:rPr>
          <w:rFonts w:ascii="Times New Roman" w:hAnsi="Times New Roman" w:cs="Times New Roman"/>
          <w:sz w:val="28"/>
          <w:szCs w:val="28"/>
        </w:rPr>
        <w:t xml:space="preserve">равила өкілдіктері </w:t>
      </w:r>
      <w:r w:rsidRPr="004B2C39">
        <w:rPr>
          <w:rFonts w:ascii="Times New Roman" w:hAnsi="Times New Roman" w:cs="Times New Roman"/>
          <w:sz w:val="28"/>
          <w:szCs w:val="28"/>
          <w:lang w:eastAsia="ru-RU"/>
        </w:rPr>
        <w:t xml:space="preserve">мемлекеттік кірістер органына </w:t>
      </w:r>
      <w:r w:rsidRPr="004B2C39">
        <w:rPr>
          <w:rFonts w:ascii="Times New Roman" w:hAnsi="Times New Roman" w:cs="Times New Roman"/>
          <w:sz w:val="28"/>
          <w:szCs w:val="28"/>
        </w:rPr>
        <w:t xml:space="preserve">кредиттік бюроларға жеке тұлғалардың берешегі бойынша кредиттік есептен мәліметтер, у коллекторлық және (немесе) микроқаржы ұйымдары алдында активтері мен міндеттемелері туралы, кірістері мен мүлкі туралы декларацияларды ұсыну бойынша міндеттеме туындаған тұлғалар </w:t>
      </w:r>
      <w:r w:rsidRPr="004B2C39">
        <w:rPr>
          <w:rFonts w:ascii="Times New Roman" w:hAnsi="Times New Roman" w:cs="Times New Roman"/>
          <w:sz w:val="28"/>
          <w:szCs w:val="28"/>
          <w:lang w:eastAsia="ru-RU"/>
        </w:rPr>
        <w:t xml:space="preserve">сәйкес </w:t>
      </w:r>
      <w:r w:rsidRPr="004B2C39">
        <w:rPr>
          <w:rFonts w:ascii="Times New Roman" w:hAnsi="Times New Roman" w:cs="Times New Roman"/>
          <w:color w:val="000000"/>
          <w:sz w:val="28"/>
          <w:szCs w:val="28"/>
        </w:rPr>
        <w:t>осы бұйрыққа 14-қосымшаға сәйкес.</w:t>
      </w:r>
    </w:p>
    <w:p w14:paraId="659D4BA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2. Кейбір бұйрықтардың күші жойылды деп танылсын </w:t>
      </w:r>
      <w:r w:rsidRPr="004B2C39">
        <w:rPr>
          <w:rFonts w:ascii="Times New Roman" w:hAnsi="Times New Roman" w:cs="Times New Roman"/>
          <w:sz w:val="28"/>
          <w:szCs w:val="28"/>
        </w:rPr>
        <w:t>Осы бұйрыққа 15-қосымшаға сәйкес тізбе бойынша Қазақстан Республикасы Қаржы министрінің міндетін атқарушының.</w:t>
      </w:r>
    </w:p>
    <w:p w14:paraId="5E6C1C5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3. Қазақстан Республикасы Қаржы министрлігінің Мемлекеттік кірістер комитеті Қазақстан Республикасының заңнамасында белгіленген тәртіппен қамтамасыз етсін:</w:t>
      </w:r>
    </w:p>
    <w:p w14:paraId="7488D554"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1) осы бұйрықтың Қазақстан Республикасы Әділет министрлігінде мемлекеттік тіркелуін;; </w:t>
      </w:r>
    </w:p>
    <w:p w14:paraId="406CE489"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2) осы бұйрық ресми жарияланғаннан кейін оны Қазақстан Республикасы Қаржы министрлігінің интернет-ресурсында орналастыруды қамтамасыз етсін;</w:t>
      </w:r>
    </w:p>
    <w:p w14:paraId="2C8840B3"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3) 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p>
    <w:p w14:paraId="0226E03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4. Осы бұйрық 2026 жылғы 1 қаңтардан бастап қолданысқа енгізіледі және ресми жариялануға тиіс.</w:t>
      </w:r>
    </w:p>
    <w:p w14:paraId="2874082E" w14:textId="77777777" w:rsidR="00836BC9" w:rsidRPr="004B2C39" w:rsidRDefault="00836BC9" w:rsidP="00836BC9">
      <w:pPr>
        <w:pStyle w:val="ac"/>
        <w:jc w:val="both"/>
        <w:rPr>
          <w:rFonts w:ascii="Times New Roman" w:hAnsi="Times New Roman" w:cs="Times New Roman"/>
          <w:sz w:val="28"/>
          <w:szCs w:val="28"/>
        </w:rPr>
      </w:pPr>
    </w:p>
    <w:p w14:paraId="066A85AA" w14:textId="77777777" w:rsidR="00836BC9" w:rsidRPr="004B2C39" w:rsidRDefault="00836BC9" w:rsidP="00836BC9">
      <w:pPr>
        <w:pStyle w:val="ac"/>
        <w:jc w:val="both"/>
        <w:rPr>
          <w:rFonts w:ascii="Times New Roman" w:hAnsi="Times New Roman" w:cs="Times New Roman"/>
          <w:sz w:val="28"/>
          <w:szCs w:val="28"/>
        </w:rPr>
      </w:pPr>
    </w:p>
    <w:p w14:paraId="3F9670AC" w14:textId="77777777" w:rsidR="00836BC9" w:rsidRPr="004B2C39" w:rsidRDefault="00836BC9" w:rsidP="00836BC9">
      <w:pPr>
        <w:pStyle w:val="ac"/>
        <w:ind w:firstLine="708"/>
        <w:jc w:val="both"/>
        <w:rPr>
          <w:rFonts w:ascii="Times New Roman" w:eastAsia="Times New Roman" w:hAnsi="Times New Roman" w:cs="Times New Roman"/>
          <w:b/>
          <w:bCs/>
          <w:color w:val="000000"/>
          <w:sz w:val="28"/>
          <w:szCs w:val="28"/>
        </w:rPr>
      </w:pPr>
      <w:r w:rsidRPr="004B2C39">
        <w:rPr>
          <w:rFonts w:ascii="Times New Roman" w:eastAsia="Times New Roman" w:hAnsi="Times New Roman" w:cs="Times New Roman"/>
          <w:b/>
          <w:bCs/>
          <w:color w:val="000000"/>
          <w:sz w:val="28"/>
          <w:szCs w:val="28"/>
        </w:rPr>
        <w:t>Лауазымы АТЫ-жөні</w:t>
      </w:r>
    </w:p>
    <w:p w14:paraId="096D4CE1" w14:textId="77777777" w:rsidR="00836BC9" w:rsidRPr="004B2C39" w:rsidRDefault="00836BC9" w:rsidP="00836BC9">
      <w:pPr>
        <w:pStyle w:val="ac"/>
        <w:jc w:val="both"/>
        <w:rPr>
          <w:rFonts w:ascii="Times New Roman" w:eastAsia="Times New Roman" w:hAnsi="Times New Roman" w:cs="Times New Roman"/>
          <w:b/>
          <w:bCs/>
          <w:color w:val="000000"/>
          <w:sz w:val="28"/>
          <w:szCs w:val="28"/>
        </w:rPr>
      </w:pPr>
    </w:p>
    <w:p w14:paraId="412B17C6" w14:textId="6F0D7273" w:rsidR="00836BC9" w:rsidRDefault="00836BC9" w:rsidP="00836BC9">
      <w:pPr>
        <w:pStyle w:val="ac"/>
        <w:jc w:val="both"/>
        <w:rPr>
          <w:rFonts w:ascii="Times New Roman" w:eastAsia="Times New Roman" w:hAnsi="Times New Roman" w:cs="Times New Roman"/>
          <w:color w:val="000000"/>
          <w:sz w:val="28"/>
          <w:szCs w:val="28"/>
        </w:rPr>
      </w:pPr>
    </w:p>
    <w:p w14:paraId="71EC9066" w14:textId="77777777" w:rsidR="00C87DC3" w:rsidRPr="004B2C39" w:rsidRDefault="00C87DC3" w:rsidP="00836BC9">
      <w:pPr>
        <w:pStyle w:val="ac"/>
        <w:jc w:val="both"/>
        <w:rPr>
          <w:rFonts w:ascii="Times New Roman" w:eastAsia="Times New Roman" w:hAnsi="Times New Roman" w:cs="Times New Roman"/>
          <w:color w:val="000000"/>
          <w:sz w:val="28"/>
          <w:szCs w:val="28"/>
        </w:rPr>
      </w:pPr>
    </w:p>
    <w:p w14:paraId="5C8D91CF" w14:textId="77777777" w:rsidR="00836BC9" w:rsidRPr="004B2C39" w:rsidRDefault="00836BC9" w:rsidP="00836BC9">
      <w:pPr>
        <w:pStyle w:val="ac"/>
        <w:jc w:val="both"/>
        <w:rPr>
          <w:rFonts w:ascii="Times New Roman" w:hAnsi="Times New Roman" w:cs="Times New Roman"/>
          <w:sz w:val="28"/>
          <w:szCs w:val="28"/>
        </w:rPr>
      </w:pPr>
      <w:bookmarkStart w:id="2" w:name="_Hlk202827842"/>
    </w:p>
    <w:p w14:paraId="69B5DFF0" w14:textId="3E1F8871"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"КЕЛІСІЛДІ"</w:t>
      </w:r>
    </w:p>
    <w:p w14:paraId="015CDD19"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Ұлттық статистика бюросы</w:t>
      </w:r>
    </w:p>
    <w:p w14:paraId="629AB291"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Стратегиялық жоспарлау жөніндегі агенттіктер</w:t>
      </w:r>
    </w:p>
    <w:p w14:paraId="63C13E24"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жоспарлау және реформалар бойынша</w:t>
      </w:r>
    </w:p>
    <w:p w14:paraId="0779CBBD"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 xml:space="preserve">Қазақстан Республикасының </w:t>
      </w:r>
    </w:p>
    <w:p w14:paraId="6689D146" w14:textId="77777777" w:rsidR="00836BC9" w:rsidRPr="004B2C39" w:rsidRDefault="00836BC9" w:rsidP="00836BC9">
      <w:pPr>
        <w:pStyle w:val="ac"/>
        <w:jc w:val="both"/>
        <w:rPr>
          <w:rFonts w:ascii="Times New Roman" w:hAnsi="Times New Roman" w:cs="Times New Roman"/>
          <w:sz w:val="28"/>
          <w:szCs w:val="28"/>
        </w:rPr>
      </w:pPr>
      <w:r w:rsidRPr="004B2C39" w:rsidDel="005B6259">
        <w:rPr>
          <w:rFonts w:ascii="Times New Roman" w:hAnsi="Times New Roman" w:cs="Times New Roman"/>
          <w:sz w:val="28"/>
          <w:szCs w:val="28"/>
        </w:rPr>
        <w:t xml:space="preserve"> </w:t>
      </w:r>
      <w:bookmarkEnd w:id="2"/>
    </w:p>
    <w:p w14:paraId="1B372EA5"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"КЕЛІСІЛДІ"</w:t>
      </w:r>
    </w:p>
    <w:p w14:paraId="2F052E22"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Қазақстан Республикасы Агенттігі</w:t>
      </w:r>
    </w:p>
    <w:p w14:paraId="74C79F0C"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реттеу және дамыту бойынша</w:t>
      </w:r>
    </w:p>
    <w:p w14:paraId="292D8141"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қаржы нарығының</w:t>
      </w:r>
    </w:p>
    <w:p w14:paraId="51C451AF" w14:textId="77777777" w:rsidR="00836BC9" w:rsidRPr="004B2C39" w:rsidRDefault="00836BC9" w:rsidP="00836BC9">
      <w:pPr>
        <w:pStyle w:val="ac"/>
        <w:jc w:val="both"/>
        <w:rPr>
          <w:rFonts w:ascii="Times New Roman" w:hAnsi="Times New Roman" w:cs="Times New Roman"/>
          <w:color w:val="000000"/>
          <w:sz w:val="28"/>
          <w:szCs w:val="28"/>
        </w:rPr>
      </w:pPr>
    </w:p>
    <w:p w14:paraId="737E93D1"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"КЕЛІСІЛДІ"</w:t>
      </w:r>
    </w:p>
    <w:p w14:paraId="59F9B2AF"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Сауда және интеграция министрлігі</w:t>
      </w:r>
    </w:p>
    <w:p w14:paraId="5B48C3DB"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Қазақстан Республикасының</w:t>
      </w:r>
    </w:p>
    <w:p w14:paraId="74D7A544" w14:textId="77777777" w:rsidR="00C87DC3" w:rsidRDefault="00C87DC3" w:rsidP="00836BC9">
      <w:pPr>
        <w:pStyle w:val="ac"/>
        <w:ind w:left="6379"/>
        <w:jc w:val="both"/>
        <w:rPr>
          <w:rFonts w:ascii="Times New Roman" w:hAnsi="Times New Roman" w:cs="Times New Roman"/>
          <w:sz w:val="28"/>
          <w:szCs w:val="28"/>
        </w:rPr>
      </w:pPr>
    </w:p>
    <w:sectPr w:rsidR="00C87DC3" w:rsidSect="00397F7A">
      <w:headerReference w:type="default" r:id="rId7"/>
      <w:headerReference w:type="first" r:id="rId8"/>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E49E4" w14:textId="77777777" w:rsidR="00307490" w:rsidRDefault="00307490" w:rsidP="00397F7A">
      <w:pPr>
        <w:spacing w:after="0" w:line="240" w:lineRule="auto"/>
      </w:pPr>
      <w:r>
        <w:separator/>
      </w:r>
    </w:p>
  </w:endnote>
  <w:endnote w:type="continuationSeparator" w:id="0">
    <w:p w14:paraId="3926DDA6" w14:textId="77777777" w:rsidR="00307490" w:rsidRDefault="00307490" w:rsidP="0039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F7F60" w14:textId="77777777" w:rsidR="00307490" w:rsidRDefault="00307490" w:rsidP="00397F7A">
      <w:pPr>
        <w:spacing w:after="0" w:line="240" w:lineRule="auto"/>
      </w:pPr>
      <w:r>
        <w:separator/>
      </w:r>
    </w:p>
  </w:footnote>
  <w:footnote w:type="continuationSeparator" w:id="0">
    <w:p w14:paraId="526C6400" w14:textId="77777777" w:rsidR="00307490" w:rsidRDefault="00307490" w:rsidP="00397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242089835"/>
      <w:docPartObj>
        <w:docPartGallery w:val="Page Numbers (Top of Page)"/>
        <w:docPartUnique/>
      </w:docPartObj>
    </w:sdtPr>
    <w:sdtContent>
      <w:p w14:paraId="16F762FA" w14:textId="2CB25027" w:rsidR="00AF6101" w:rsidRPr="00397F7A" w:rsidRDefault="00AF6101">
        <w:pPr>
          <w:pStyle w:val="ad"/>
          <w:jc w:val="center"/>
          <w:rPr>
            <w:sz w:val="28"/>
            <w:szCs w:val="28"/>
          </w:rPr>
        </w:pPr>
        <w:r w:rsidRPr="00397F7A">
          <w:rPr>
            <w:sz w:val="28"/>
            <w:szCs w:val="28"/>
          </w:rPr>
          <w:fldChar w:fldCharType="begin"/>
        </w:r>
        <w:r w:rsidRPr="00397F7A">
          <w:rPr>
            <w:sz w:val="28"/>
            <w:szCs w:val="28"/>
          </w:rPr>
          <w:instrText>PAGE   \* MERGEFORMAT</w:instrText>
        </w:r>
        <w:r w:rsidRPr="00397F7A">
          <w:rPr>
            <w:sz w:val="28"/>
            <w:szCs w:val="28"/>
          </w:rPr>
          <w:fldChar w:fldCharType="separate"/>
        </w:r>
        <w:r w:rsidR="00EF7C62" w:rsidRPr="00EF7C62">
          <w:rPr>
            <w:noProof/>
            <w:sz w:val="28"/>
            <w:szCs w:val="28"/>
            <w:lang w:val="ru-RU"/>
          </w:rPr>
          <w:t>41</w:t>
        </w:r>
        <w:r w:rsidRPr="00397F7A">
          <w:rPr>
            <w:sz w:val="28"/>
            <w:szCs w:val="28"/>
          </w:rPr>
          <w:fldChar w:fldCharType="end"/>
        </w:r>
      </w:p>
    </w:sdtContent>
  </w:sdt>
  <w:p w14:paraId="7F5F98C8" w14:textId="77777777" w:rsidR="00AF6101" w:rsidRDefault="00AF610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A3AC" w14:textId="77777777" w:rsidR="00AF6101" w:rsidRDefault="00AF6101">
    <w:pPr>
      <w:pStyle w:val="ad"/>
      <w:rPr>
        <w:lang w:val="ru-RU"/>
      </w:rPr>
    </w:pPr>
  </w:p>
  <w:p w14:paraId="231EF614" w14:textId="77777777" w:rsidR="00AF6101" w:rsidRPr="00397F7A" w:rsidRDefault="00AF6101">
    <w:pPr>
      <w:pStyle w:val="ad"/>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D7C"/>
    <w:multiLevelType w:val="hybridMultilevel"/>
    <w:tmpl w:val="07C44408"/>
    <w:lvl w:ilvl="0" w:tplc="56C09F4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F282217"/>
    <w:multiLevelType w:val="hybridMultilevel"/>
    <w:tmpl w:val="5838D9C2"/>
    <w:lvl w:ilvl="0" w:tplc="1B6A1C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5B85E0E"/>
    <w:multiLevelType w:val="hybridMultilevel"/>
    <w:tmpl w:val="7C6CC498"/>
    <w:lvl w:ilvl="0" w:tplc="0DC24A22">
      <w:start w:val="1"/>
      <w:numFmt w:val="decimal"/>
      <w:lvlText w:val="%1."/>
      <w:lvlJc w:val="left"/>
      <w:pPr>
        <w:ind w:left="1068" w:hanging="360"/>
      </w:pPr>
      <w:rPr>
        <w:rFonts w:eastAsiaTheme="minorHAnsi"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7FC58EE"/>
    <w:multiLevelType w:val="hybridMultilevel"/>
    <w:tmpl w:val="9ACC236C"/>
    <w:lvl w:ilvl="0" w:tplc="76F2A4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B6E0045"/>
    <w:multiLevelType w:val="hybridMultilevel"/>
    <w:tmpl w:val="E5906784"/>
    <w:lvl w:ilvl="0" w:tplc="6FCEA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F675A6"/>
    <w:multiLevelType w:val="hybridMultilevel"/>
    <w:tmpl w:val="E8FED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C4496"/>
    <w:multiLevelType w:val="hybridMultilevel"/>
    <w:tmpl w:val="07C44408"/>
    <w:lvl w:ilvl="0" w:tplc="FFFFFFFF">
      <w:start w:val="1"/>
      <w:numFmt w:val="decimal"/>
      <w:lvlText w:val="%1."/>
      <w:lvlJc w:val="left"/>
      <w:pPr>
        <w:ind w:left="1068" w:hanging="360"/>
      </w:pPr>
      <w:rPr>
        <w:rFonts w:hint="default"/>
        <w:color w:val="00000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3C4F6796"/>
    <w:multiLevelType w:val="hybridMultilevel"/>
    <w:tmpl w:val="58368E58"/>
    <w:lvl w:ilvl="0" w:tplc="44780D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53C58F3"/>
    <w:multiLevelType w:val="hybridMultilevel"/>
    <w:tmpl w:val="3FCA8644"/>
    <w:lvl w:ilvl="0" w:tplc="B350A5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9BC7DD2"/>
    <w:multiLevelType w:val="hybridMultilevel"/>
    <w:tmpl w:val="65F4C8C4"/>
    <w:lvl w:ilvl="0" w:tplc="529485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C9B1183"/>
    <w:multiLevelType w:val="hybridMultilevel"/>
    <w:tmpl w:val="07CED926"/>
    <w:lvl w:ilvl="0" w:tplc="35B83984">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D1B452B"/>
    <w:multiLevelType w:val="hybridMultilevel"/>
    <w:tmpl w:val="DB4A3EA0"/>
    <w:lvl w:ilvl="0" w:tplc="CAE2FA1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E093B2F"/>
    <w:multiLevelType w:val="hybridMultilevel"/>
    <w:tmpl w:val="DC3C75D4"/>
    <w:lvl w:ilvl="0" w:tplc="2E9CA21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3" w15:restartNumberingAfterBreak="0">
    <w:nsid w:val="60322687"/>
    <w:multiLevelType w:val="hybridMultilevel"/>
    <w:tmpl w:val="12F806FE"/>
    <w:lvl w:ilvl="0" w:tplc="C0CCE2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EE21A13"/>
    <w:multiLevelType w:val="hybridMultilevel"/>
    <w:tmpl w:val="CE041CA0"/>
    <w:lvl w:ilvl="0" w:tplc="F54883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750D5745"/>
    <w:multiLevelType w:val="hybridMultilevel"/>
    <w:tmpl w:val="1BBEBE06"/>
    <w:lvl w:ilvl="0" w:tplc="1482FD24">
      <w:start w:val="1"/>
      <w:numFmt w:val="decimal"/>
      <w:lvlText w:val="%1)"/>
      <w:lvlJc w:val="left"/>
      <w:pPr>
        <w:ind w:left="1068" w:hanging="360"/>
      </w:pPr>
      <w:rPr>
        <w:rFonts w:eastAsiaTheme="minorHAnsi"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94F12BA"/>
    <w:multiLevelType w:val="hybridMultilevel"/>
    <w:tmpl w:val="9A66C9DE"/>
    <w:lvl w:ilvl="0" w:tplc="4D669A5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728576006">
    <w:abstractNumId w:val="4"/>
  </w:num>
  <w:num w:numId="2" w16cid:durableId="1263341841">
    <w:abstractNumId w:val="9"/>
  </w:num>
  <w:num w:numId="3" w16cid:durableId="259922011">
    <w:abstractNumId w:val="15"/>
  </w:num>
  <w:num w:numId="4" w16cid:durableId="1654021616">
    <w:abstractNumId w:val="12"/>
  </w:num>
  <w:num w:numId="5" w16cid:durableId="180703253">
    <w:abstractNumId w:val="14"/>
  </w:num>
  <w:num w:numId="6" w16cid:durableId="1580405910">
    <w:abstractNumId w:val="3"/>
  </w:num>
  <w:num w:numId="7" w16cid:durableId="243995837">
    <w:abstractNumId w:val="10"/>
  </w:num>
  <w:num w:numId="8" w16cid:durableId="71435541">
    <w:abstractNumId w:val="5"/>
  </w:num>
  <w:num w:numId="9" w16cid:durableId="1322464349">
    <w:abstractNumId w:val="7"/>
  </w:num>
  <w:num w:numId="10" w16cid:durableId="1437481412">
    <w:abstractNumId w:val="8"/>
  </w:num>
  <w:num w:numId="11" w16cid:durableId="1357152202">
    <w:abstractNumId w:val="1"/>
  </w:num>
  <w:num w:numId="12" w16cid:durableId="678042304">
    <w:abstractNumId w:val="2"/>
  </w:num>
  <w:num w:numId="13" w16cid:durableId="622736025">
    <w:abstractNumId w:val="13"/>
  </w:num>
  <w:num w:numId="14" w16cid:durableId="1530415492">
    <w:abstractNumId w:val="11"/>
  </w:num>
  <w:num w:numId="15" w16cid:durableId="1043822634">
    <w:abstractNumId w:val="0"/>
  </w:num>
  <w:num w:numId="16" w16cid:durableId="1766262006">
    <w:abstractNumId w:val="16"/>
  </w:num>
  <w:num w:numId="17" w16cid:durableId="1488548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BC9"/>
    <w:rsid w:val="001F30C3"/>
    <w:rsid w:val="002303D9"/>
    <w:rsid w:val="002C1FD5"/>
    <w:rsid w:val="00307490"/>
    <w:rsid w:val="003714E8"/>
    <w:rsid w:val="00397F7A"/>
    <w:rsid w:val="003D1383"/>
    <w:rsid w:val="003D156F"/>
    <w:rsid w:val="004B2C39"/>
    <w:rsid w:val="004C49D5"/>
    <w:rsid w:val="005A1D57"/>
    <w:rsid w:val="006215C7"/>
    <w:rsid w:val="006E73A8"/>
    <w:rsid w:val="00711D8C"/>
    <w:rsid w:val="00727842"/>
    <w:rsid w:val="007963B1"/>
    <w:rsid w:val="007E06C3"/>
    <w:rsid w:val="007F54F2"/>
    <w:rsid w:val="00831747"/>
    <w:rsid w:val="00833B2C"/>
    <w:rsid w:val="00836BC9"/>
    <w:rsid w:val="008C6A54"/>
    <w:rsid w:val="00A15485"/>
    <w:rsid w:val="00AF6101"/>
    <w:rsid w:val="00BD0BFE"/>
    <w:rsid w:val="00C66C75"/>
    <w:rsid w:val="00C87DC3"/>
    <w:rsid w:val="00C87EB3"/>
    <w:rsid w:val="00EC3339"/>
    <w:rsid w:val="00EE535F"/>
    <w:rsid w:val="00EF7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666E7"/>
  <w15:chartTrackingRefBased/>
  <w15:docId w15:val="{C6FF51F4-A19F-4D66-B79E-BEE9969DE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BC9"/>
    <w:pPr>
      <w:spacing w:after="200" w:line="276" w:lineRule="auto"/>
    </w:pPr>
    <w:rPr>
      <w:rFonts w:ascii="Times New Roman" w:eastAsia="Times New Roman" w:hAnsi="Times New Roman" w:cs="Times New Roman"/>
      <w:kern w:val="0"/>
      <w:lang w:val="en-US"/>
      <w14:ligatures w14:val="none"/>
    </w:rPr>
  </w:style>
  <w:style w:type="paragraph" w:styleId="1">
    <w:name w:val="heading 1"/>
    <w:basedOn w:val="a"/>
    <w:next w:val="a"/>
    <w:link w:val="10"/>
    <w:uiPriority w:val="9"/>
    <w:qFormat/>
    <w:rsid w:val="00836BC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836BC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36BC9"/>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836BC9"/>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836BC9"/>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836BC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36BC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36BC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36BC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6BC9"/>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836BC9"/>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36BC9"/>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36BC9"/>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836BC9"/>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836BC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36BC9"/>
    <w:rPr>
      <w:rFonts w:eastAsiaTheme="majorEastAsia" w:cstheme="majorBidi"/>
      <w:color w:val="595959" w:themeColor="text1" w:themeTint="A6"/>
    </w:rPr>
  </w:style>
  <w:style w:type="character" w:customStyle="1" w:styleId="80">
    <w:name w:val="Заголовок 8 Знак"/>
    <w:basedOn w:val="a0"/>
    <w:link w:val="8"/>
    <w:uiPriority w:val="9"/>
    <w:semiHidden/>
    <w:rsid w:val="00836BC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36BC9"/>
    <w:rPr>
      <w:rFonts w:eastAsiaTheme="majorEastAsia" w:cstheme="majorBidi"/>
      <w:color w:val="272727" w:themeColor="text1" w:themeTint="D8"/>
    </w:rPr>
  </w:style>
  <w:style w:type="paragraph" w:styleId="a3">
    <w:name w:val="Title"/>
    <w:basedOn w:val="a"/>
    <w:next w:val="a"/>
    <w:link w:val="a4"/>
    <w:uiPriority w:val="10"/>
    <w:qFormat/>
    <w:rsid w:val="00836B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36BC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6BC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36BC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36BC9"/>
    <w:pPr>
      <w:spacing w:before="160"/>
      <w:jc w:val="center"/>
    </w:pPr>
    <w:rPr>
      <w:i/>
      <w:iCs/>
      <w:color w:val="404040" w:themeColor="text1" w:themeTint="BF"/>
    </w:rPr>
  </w:style>
  <w:style w:type="character" w:customStyle="1" w:styleId="22">
    <w:name w:val="Цитата 2 Знак"/>
    <w:basedOn w:val="a0"/>
    <w:link w:val="21"/>
    <w:uiPriority w:val="29"/>
    <w:rsid w:val="00836BC9"/>
    <w:rPr>
      <w:i/>
      <w:iCs/>
      <w:color w:val="404040" w:themeColor="text1" w:themeTint="BF"/>
    </w:rPr>
  </w:style>
  <w:style w:type="paragraph" w:styleId="a7">
    <w:name w:val="List Paragraph"/>
    <w:basedOn w:val="a"/>
    <w:uiPriority w:val="34"/>
    <w:qFormat/>
    <w:rsid w:val="00836BC9"/>
    <w:pPr>
      <w:ind w:left="720"/>
      <w:contextualSpacing/>
    </w:pPr>
  </w:style>
  <w:style w:type="character" w:styleId="a8">
    <w:name w:val="Intense Emphasis"/>
    <w:basedOn w:val="a0"/>
    <w:uiPriority w:val="21"/>
    <w:qFormat/>
    <w:rsid w:val="00836BC9"/>
    <w:rPr>
      <w:i/>
      <w:iCs/>
      <w:color w:val="2E74B5" w:themeColor="accent1" w:themeShade="BF"/>
    </w:rPr>
  </w:style>
  <w:style w:type="paragraph" w:styleId="a9">
    <w:name w:val="Intense Quote"/>
    <w:basedOn w:val="a"/>
    <w:next w:val="a"/>
    <w:link w:val="aa"/>
    <w:uiPriority w:val="30"/>
    <w:qFormat/>
    <w:rsid w:val="00836BC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36BC9"/>
    <w:rPr>
      <w:i/>
      <w:iCs/>
      <w:color w:val="2E74B5" w:themeColor="accent1" w:themeShade="BF"/>
    </w:rPr>
  </w:style>
  <w:style w:type="character" w:styleId="ab">
    <w:name w:val="Intense Reference"/>
    <w:basedOn w:val="a0"/>
    <w:uiPriority w:val="32"/>
    <w:qFormat/>
    <w:rsid w:val="00836BC9"/>
    <w:rPr>
      <w:b/>
      <w:bCs/>
      <w:smallCaps/>
      <w:color w:val="2E74B5" w:themeColor="accent1" w:themeShade="BF"/>
      <w:spacing w:val="5"/>
    </w:rPr>
  </w:style>
  <w:style w:type="paragraph" w:styleId="ac">
    <w:name w:val="No Spacing"/>
    <w:uiPriority w:val="1"/>
    <w:qFormat/>
    <w:rsid w:val="00836BC9"/>
    <w:pPr>
      <w:spacing w:after="0" w:line="240" w:lineRule="auto"/>
    </w:pPr>
  </w:style>
  <w:style w:type="paragraph" w:styleId="ad">
    <w:name w:val="header"/>
    <w:basedOn w:val="a"/>
    <w:link w:val="ae"/>
    <w:uiPriority w:val="99"/>
    <w:unhideWhenUsed/>
    <w:rsid w:val="00836BC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36BC9"/>
    <w:rPr>
      <w:rFonts w:ascii="Times New Roman" w:eastAsia="Times New Roman" w:hAnsi="Times New Roman" w:cs="Times New Roman"/>
      <w:kern w:val="0"/>
      <w:lang w:val="en-US"/>
      <w14:ligatures w14:val="none"/>
    </w:rPr>
  </w:style>
  <w:style w:type="paragraph" w:styleId="af">
    <w:name w:val="footer"/>
    <w:basedOn w:val="a"/>
    <w:link w:val="af0"/>
    <w:uiPriority w:val="99"/>
    <w:unhideWhenUsed/>
    <w:rsid w:val="00836BC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36BC9"/>
    <w:rPr>
      <w:rFonts w:ascii="Times New Roman" w:eastAsia="Times New Roman" w:hAnsi="Times New Roman" w:cs="Times New Roman"/>
      <w:kern w:val="0"/>
      <w:lang w:val="en-US"/>
      <w14:ligatures w14:val="none"/>
    </w:rPr>
  </w:style>
  <w:style w:type="table" w:styleId="af1">
    <w:name w:val="Table Grid"/>
    <w:basedOn w:val="a1"/>
    <w:uiPriority w:val="59"/>
    <w:rsid w:val="00836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836BC9"/>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836BC9"/>
    <w:rPr>
      <w:rFonts w:ascii="Segoe UI" w:eastAsia="Times New Roman" w:hAnsi="Segoe UI" w:cs="Segoe UI"/>
      <w:kern w:val="0"/>
      <w:sz w:val="18"/>
      <w:szCs w:val="18"/>
      <w:lang w:val="en-US"/>
      <w14:ligatures w14:val="none"/>
    </w:rPr>
  </w:style>
  <w:style w:type="paragraph" w:styleId="af4">
    <w:name w:val="Revision"/>
    <w:hidden/>
    <w:uiPriority w:val="99"/>
    <w:semiHidden/>
    <w:rsid w:val="00836BC9"/>
    <w:pPr>
      <w:spacing w:after="0" w:line="240" w:lineRule="auto"/>
    </w:pPr>
    <w:rPr>
      <w:rFonts w:ascii="Times New Roman" w:eastAsia="Times New Roman" w:hAnsi="Times New Roman" w:cs="Times New Roman"/>
      <w:kern w:val="0"/>
      <w:lang w:val="en-US"/>
      <w14:ligatures w14:val="none"/>
    </w:rPr>
  </w:style>
  <w:style w:type="character" w:styleId="af5">
    <w:name w:val="annotation reference"/>
    <w:basedOn w:val="a0"/>
    <w:uiPriority w:val="99"/>
    <w:semiHidden/>
    <w:unhideWhenUsed/>
    <w:rsid w:val="00AF6101"/>
    <w:rPr>
      <w:sz w:val="16"/>
      <w:szCs w:val="16"/>
    </w:rPr>
  </w:style>
  <w:style w:type="paragraph" w:styleId="af6">
    <w:name w:val="annotation text"/>
    <w:basedOn w:val="a"/>
    <w:link w:val="af7"/>
    <w:uiPriority w:val="99"/>
    <w:semiHidden/>
    <w:unhideWhenUsed/>
    <w:rsid w:val="00AF6101"/>
    <w:pPr>
      <w:spacing w:line="240" w:lineRule="auto"/>
    </w:pPr>
    <w:rPr>
      <w:sz w:val="20"/>
      <w:szCs w:val="20"/>
    </w:rPr>
  </w:style>
  <w:style w:type="character" w:customStyle="1" w:styleId="af7">
    <w:name w:val="Текст примечания Знак"/>
    <w:basedOn w:val="a0"/>
    <w:link w:val="af6"/>
    <w:uiPriority w:val="99"/>
    <w:semiHidden/>
    <w:rsid w:val="00AF6101"/>
    <w:rPr>
      <w:rFonts w:ascii="Times New Roman" w:eastAsia="Times New Roman" w:hAnsi="Times New Roman" w:cs="Times New Roman"/>
      <w:kern w:val="0"/>
      <w:sz w:val="20"/>
      <w:szCs w:val="20"/>
      <w:lang w:val="en-US"/>
      <w14:ligatures w14:val="none"/>
    </w:rPr>
  </w:style>
  <w:style w:type="paragraph" w:styleId="af8">
    <w:name w:val="annotation subject"/>
    <w:basedOn w:val="af6"/>
    <w:next w:val="af6"/>
    <w:link w:val="af9"/>
    <w:uiPriority w:val="99"/>
    <w:semiHidden/>
    <w:unhideWhenUsed/>
    <w:rsid w:val="00AF6101"/>
    <w:rPr>
      <w:b/>
      <w:bCs/>
    </w:rPr>
  </w:style>
  <w:style w:type="character" w:customStyle="1" w:styleId="af9">
    <w:name w:val="Тема примечания Знак"/>
    <w:basedOn w:val="af7"/>
    <w:link w:val="af8"/>
    <w:uiPriority w:val="99"/>
    <w:semiHidden/>
    <w:rsid w:val="00AF6101"/>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905</Words>
  <Characters>5162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Нурлыбеков Азамат</cp:lastModifiedBy>
  <cp:revision>3</cp:revision>
  <cp:lastPrinted>2025-09-04T04:19:00Z</cp:lastPrinted>
  <dcterms:created xsi:type="dcterms:W3CDTF">2025-09-10T04:06:00Z</dcterms:created>
  <dcterms:modified xsi:type="dcterms:W3CDTF">2025-09-12T03:00:00Z</dcterms:modified>
</cp:coreProperties>
</file>